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 w:afterLines="100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附录四  安全水头值计算公式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一、掘进巷道底板隔水层</w:t>
      </w:r>
      <w:r>
        <w:rPr>
          <w:rFonts w:hint="eastAsia" w:ascii="Times New Roman" w:hAnsi="Times New Roman" w:eastAsia="仿宋_GB2312"/>
          <w:b/>
          <w:sz w:val="32"/>
          <w:szCs w:val="24"/>
        </w:rPr>
        <w:t>安全水头值计算公式</w:t>
      </w:r>
    </w:p>
    <w:p>
      <w:pPr>
        <w:tabs>
          <w:tab w:val="left" w:pos="7560"/>
          <w:tab w:val="left" w:pos="7740"/>
        </w:tabs>
        <w:adjustRightInd w:val="0"/>
        <w:snapToGrid w:val="0"/>
        <w:spacing w:line="900" w:lineRule="exact"/>
        <w:ind w:firstLine="3520" w:firstLineChars="1100"/>
        <w:jc w:val="right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/>
          <w:position w:val="-24"/>
          <w:sz w:val="32"/>
          <w:szCs w:val="24"/>
        </w:rPr>
        <w:object>
          <v:shape id="_x0000_i1025" o:spt="75" type="#_x0000_t75" style="height:50.8pt;width:118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Times New Roman" w:hAnsi="Times New Roman" w:eastAsia="仿宋_GB2312"/>
          <w:position w:val="-24"/>
          <w:sz w:val="32"/>
          <w:szCs w:val="24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（附4</w:t>
      </w:r>
      <w:r>
        <w:rPr>
          <w:rFonts w:hint="eastAsia" w:ascii="仿宋_GB2312" w:hAnsi="Times New Roman" w:eastAsia="仿宋_GB2312" w:cs="仿宋_GB2312"/>
          <w:sz w:val="32"/>
          <w:szCs w:val="24"/>
        </w:rPr>
        <w:t>-</w:t>
      </w:r>
      <w:r>
        <w:rPr>
          <w:rFonts w:hint="eastAsia" w:ascii="Times New Roman" w:hAnsi="Times New Roman" w:eastAsia="仿宋_GB2312" w:cs="仿宋_GB2312"/>
          <w:sz w:val="32"/>
          <w:szCs w:val="24"/>
        </w:rPr>
        <w:t>1）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p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  <w:vertAlign w:val="subscript"/>
        </w:rPr>
        <w:t>s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</w:t>
      </w:r>
      <w:r>
        <w:rPr>
          <w:rFonts w:hint="eastAsia" w:ascii="Times New Roman" w:hAnsi="Times New Roman" w:eastAsia="仿宋_GB2312"/>
          <w:sz w:val="32"/>
          <w:szCs w:val="24"/>
        </w:rPr>
        <w:t>安全水头值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，MPa；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    t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—隔水层厚度，m；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    L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—巷道底板宽度，m；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position w:val="-10"/>
          <w:sz w:val="32"/>
          <w:szCs w:val="24"/>
        </w:rPr>
        <w:object>
          <v:shape id="_x0000_i1026" o:spt="75" type="#_x0000_t75" style="height:12pt;width:9.2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" ShapeID="_x0000_i1026" DrawAspect="Content" ObjectID="_1468075726" r:id="rId6">
            <o:LockedField>false</o:LockedField>
          </o:OLEObject>
        </w:objec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—底板隔水层的平均重度，MN/m</w:t>
      </w:r>
      <w:r>
        <w:rPr>
          <w:rFonts w:ascii="Times New Roman" w:hAnsi="Times New Roman" w:cs="宋体"/>
          <w:sz w:val="32"/>
          <w:szCs w:val="24"/>
        </w:rPr>
        <w:t>³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；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    K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bscript"/>
        </w:rPr>
        <w:t>p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—底板隔水层的平均抗拉强度，MPa。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 w:cs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24"/>
        </w:rPr>
        <w:t>二、采煤工作面安全水头值计算公式</w:t>
      </w:r>
    </w:p>
    <w:p>
      <w:pPr>
        <w:tabs>
          <w:tab w:val="left" w:pos="7560"/>
          <w:tab w:val="left" w:pos="7740"/>
        </w:tabs>
        <w:adjustRightInd w:val="0"/>
        <w:snapToGrid w:val="0"/>
        <w:spacing w:line="600" w:lineRule="exact"/>
        <w:jc w:val="righ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宋体"/>
          <w:position w:val="-12"/>
          <w:sz w:val="32"/>
          <w:szCs w:val="24"/>
        </w:rPr>
        <w:object>
          <v:shape id="_x0000_i1027" o:spt="75" type="#_x0000_t75" style="height:24.55pt;width:65.4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hint="eastAsia" w:ascii="Times New Roman" w:hAnsi="Times New Roman" w:eastAsia="仿宋_GB2312" w:cs="宋体"/>
          <w:position w:val="-12"/>
          <w:sz w:val="32"/>
          <w:szCs w:val="24"/>
        </w:rPr>
        <w:t xml:space="preserve">          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（附4</w:t>
      </w:r>
      <w:r>
        <w:rPr>
          <w:rFonts w:hint="eastAsia" w:ascii="仿宋_GB2312" w:hAnsi="Times New Roman" w:eastAsia="仿宋_GB2312" w:cs="仿宋_GB2312"/>
          <w:sz w:val="32"/>
          <w:szCs w:val="24"/>
        </w:rPr>
        <w:t>-</w:t>
      </w:r>
      <w:r>
        <w:rPr>
          <w:rFonts w:hint="eastAsia" w:ascii="Times New Roman" w:hAnsi="Times New Roman" w:eastAsia="仿宋_GB2312" w:cs="仿宋_GB2312"/>
          <w:sz w:val="32"/>
          <w:szCs w:val="24"/>
        </w:rPr>
        <w:t>2）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 xml:space="preserve">式中 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p</w:t>
      </w:r>
      <w:r>
        <w:rPr>
          <w:rFonts w:hint="eastAsia" w:ascii="Times New Roman" w:hAnsi="Times New Roman" w:eastAsia="仿宋_GB2312" w:cs="仿宋_GB2312"/>
          <w:i/>
          <w:iCs/>
          <w:sz w:val="32"/>
          <w:szCs w:val="24"/>
          <w:vertAlign w:val="subscript"/>
        </w:rPr>
        <w:t>s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</w:t>
      </w:r>
      <w:r>
        <w:rPr>
          <w:rFonts w:hint="eastAsia" w:ascii="Times New Roman" w:hAnsi="Times New Roman" w:eastAsia="仿宋_GB2312" w:cs="仿宋_GB2312"/>
          <w:bCs/>
          <w:sz w:val="32"/>
          <w:szCs w:val="24"/>
        </w:rPr>
        <w:t>底板隔水层</w:t>
      </w:r>
      <w:r>
        <w:rPr>
          <w:rFonts w:hint="eastAsia" w:ascii="Times New Roman" w:hAnsi="Times New Roman" w:eastAsia="仿宋_GB2312" w:cs="仿宋_GB2312"/>
          <w:sz w:val="32"/>
          <w:szCs w:val="24"/>
        </w:rPr>
        <w:t>安全水头值，MPa；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  <w:u w:val="single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M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—底板隔水层厚度，m；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 xml:space="preserve"> T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bscript"/>
        </w:rPr>
        <w:t>s</w:t>
      </w:r>
      <w:r>
        <w:rPr>
          <w:rFonts w:hint="eastAsia" w:ascii="Times New Roman" w:hAnsi="Times New Roman" w:eastAsia="仿宋_GB2312" w:cs="仿宋_GB2312"/>
          <w:sz w:val="32"/>
          <w:szCs w:val="24"/>
        </w:rPr>
        <w:t>—临界突水系数，MPa/m。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i/>
          <w:iCs/>
          <w:sz w:val="32"/>
          <w:szCs w:val="24"/>
        </w:rPr>
        <w:t>T</w:t>
      </w:r>
      <w:r>
        <w:rPr>
          <w:rFonts w:hint="eastAsia" w:ascii="Times New Roman" w:hAnsi="Times New Roman" w:eastAsia="仿宋_GB2312" w:cs="仿宋_GB2312"/>
          <w:sz w:val="32"/>
          <w:szCs w:val="24"/>
          <w:vertAlign w:val="subscript"/>
        </w:rPr>
        <w:t>s</w:t>
      </w:r>
      <w:r>
        <w:rPr>
          <w:rFonts w:hint="eastAsia" w:ascii="Times New Roman" w:hAnsi="Times New Roman" w:eastAsia="仿宋_GB2312" w:cs="仿宋_GB2312"/>
          <w:sz w:val="32"/>
          <w:szCs w:val="24"/>
        </w:rPr>
        <w:t>值应当根据本区资料确定，一般情况下，底板受构造破坏的地段按0.06 MPa/m计算，隔水层完整无断裂构造破坏的地段按0.1 MPa/m计算。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NmI0ZDM3MzA3MTQzYzgzMjI0ZDYyYTUwOTU4MDMifQ=="/>
  </w:docVars>
  <w:rsids>
    <w:rsidRoot w:val="4E823905"/>
    <w:rsid w:val="4E8239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600" w:lineRule="exact"/>
      <w:jc w:val="center"/>
      <w:outlineLvl w:val="1"/>
    </w:pPr>
    <w:rPr>
      <w:rFonts w:ascii="Cambria" w:hAnsi="Cambria" w:eastAsia="楷体_GB2312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2022-06-22T03:51:00Z</dcterms:created>
  <dc:creator>Smile_洛 </dc:creator>
  <cp:lastModifiedBy>Smile_洛 </cp:lastModifiedBy>
  <dcterms:modified xsi:type="dcterms:W3CDTF">2022-06-22T03:51:48Z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5AF306D56A334EAC97C32A3B66206B97</vt:lpwstr>
  </property>
</Properties>
</file>